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D96" w14:textId="77777777" w:rsidR="00BC6BD0" w:rsidRDefault="00000000">
      <w:pPr>
        <w:ind w:left="-360" w:right="-630"/>
        <w:rPr>
          <w:color w:val="38761D"/>
        </w:rPr>
      </w:pPr>
      <w:r>
        <w:rPr>
          <w:b/>
          <w:color w:val="38761D"/>
        </w:rPr>
        <w:t>PURPOSE:</w:t>
      </w:r>
      <w:r>
        <w:rPr>
          <w:color w:val="38761D"/>
        </w:rPr>
        <w:t xml:space="preserve"> </w:t>
      </w:r>
    </w:p>
    <w:p w14:paraId="6A3EA1AD" w14:textId="77777777" w:rsidR="00BC6BD0" w:rsidRDefault="00000000">
      <w:pPr>
        <w:ind w:left="-360" w:right="-630"/>
        <w:rPr>
          <w:color w:val="38761D"/>
        </w:rPr>
      </w:pPr>
      <w:r>
        <w:rPr>
          <w:sz w:val="26"/>
          <w:szCs w:val="26"/>
        </w:rPr>
        <w:t>T</w:t>
      </w:r>
      <w:r>
        <w:t xml:space="preserve">his guide is intended as a tool for supporting conversations around best practices among educators so that all students, including students with disabilities, are served within a comprehensive continuum of </w:t>
      </w:r>
      <w:proofErr w:type="gramStart"/>
      <w:r>
        <w:t>supports</w:t>
      </w:r>
      <w:proofErr w:type="gramEnd"/>
      <w:r>
        <w:t xml:space="preserve"> that helps them reach their full potential in all areas of their education. This guide, in its whole or in parts, is not intended to substitute for your compliance in following requirements of federal and state special education policies and procedures for programs, eligibility, service provision or student rights. </w:t>
      </w:r>
      <w:proofErr w:type="gramStart"/>
      <w:r>
        <w:t>While  not</w:t>
      </w:r>
      <w:proofErr w:type="gramEnd"/>
      <w:r>
        <w:t xml:space="preserve"> exhaustive, it should be viewed as a resource for improving adult practices that in turn help educators better serve students. </w:t>
      </w:r>
      <w:r>
        <w:br/>
      </w:r>
    </w:p>
    <w:p w14:paraId="7FCD501F" w14:textId="77777777" w:rsidR="00BC6BD0" w:rsidRPr="006C6294" w:rsidRDefault="00000000">
      <w:pPr>
        <w:ind w:left="-360" w:right="-630"/>
        <w:rPr>
          <w:b/>
          <w:color w:val="256900"/>
          <w:shd w:val="clear" w:color="auto" w:fill="D9D9D9"/>
        </w:rPr>
      </w:pPr>
      <w:r w:rsidRPr="006C6294">
        <w:rPr>
          <w:b/>
          <w:color w:val="256900"/>
          <w:shd w:val="clear" w:color="auto" w:fill="D9D9D9"/>
        </w:rPr>
        <w:t>TRUE or FALSE</w:t>
      </w:r>
      <w:r w:rsidRPr="006C6294">
        <w:rPr>
          <w:b/>
          <w:color w:val="256900"/>
          <w:shd w:val="clear" w:color="auto" w:fill="D9D9D9"/>
        </w:rPr>
        <w:tab/>
        <w:t>MTSS is only for general education.</w:t>
      </w:r>
    </w:p>
    <w:p w14:paraId="0287B325" w14:textId="77777777" w:rsidR="00BC6BD0" w:rsidRDefault="00BC6BD0">
      <w:pPr>
        <w:ind w:left="-360" w:right="-630"/>
        <w:rPr>
          <w:b/>
        </w:rPr>
      </w:pPr>
    </w:p>
    <w:p w14:paraId="2AF04BEA" w14:textId="77777777" w:rsidR="00BC6BD0" w:rsidRDefault="00000000">
      <w:pPr>
        <w:ind w:left="-360" w:right="-630"/>
      </w:pPr>
      <w:r>
        <w:rPr>
          <w:b/>
        </w:rPr>
        <w:t xml:space="preserve">False:    </w:t>
      </w:r>
      <w:r>
        <w:t xml:space="preserve">MTSS is for all students. Many students with IEPs, particularly those with high incidence disabilities, spend most or </w:t>
      </w:r>
      <w:proofErr w:type="gramStart"/>
      <w:r>
        <w:t>all of</w:t>
      </w:r>
      <w:proofErr w:type="gramEnd"/>
      <w:r>
        <w:t xml:space="preserve"> their day in a general education setting (their individually determined least restrictive environment) which means they can benefit from a well-implemented MTSS. Students with disabilities can also benefit from the resources and other instructional help that a </w:t>
      </w:r>
      <w:proofErr w:type="spellStart"/>
      <w:r>
        <w:t>mutli</w:t>
      </w:r>
      <w:proofErr w:type="spellEnd"/>
      <w:r>
        <w:t>-tiered system can offer and, with the collaboration among their teachers, MTSS can help educators tailor those resources whenever possible to help mitigate some of the challenges students also served through IEPs might experience in the general education setting.</w:t>
      </w:r>
    </w:p>
    <w:p w14:paraId="5F9D0FB3" w14:textId="77777777" w:rsidR="00BC6BD0" w:rsidRDefault="00BC6BD0">
      <w:pPr>
        <w:ind w:left="-360" w:right="-630"/>
      </w:pPr>
    </w:p>
    <w:p w14:paraId="27701FA5" w14:textId="77777777" w:rsidR="00BC6BD0" w:rsidRDefault="00000000">
      <w:pPr>
        <w:spacing w:after="200"/>
        <w:ind w:left="-360" w:right="-630"/>
        <w:rPr>
          <w:b/>
        </w:rPr>
      </w:pPr>
      <w:r w:rsidRPr="006C6294">
        <w:rPr>
          <w:b/>
          <w:color w:val="256900"/>
          <w:shd w:val="clear" w:color="auto" w:fill="D9D9D9"/>
        </w:rPr>
        <w:t>TRUE or FALSE</w:t>
      </w:r>
      <w:r w:rsidRPr="006C6294">
        <w:rPr>
          <w:b/>
          <w:color w:val="256900"/>
          <w:shd w:val="clear" w:color="auto" w:fill="D9D9D9"/>
        </w:rPr>
        <w:tab/>
        <w:t>MTSS is just a pathway to special education.</w:t>
      </w:r>
    </w:p>
    <w:p w14:paraId="137AB9B6" w14:textId="77777777" w:rsidR="00BC6BD0" w:rsidRDefault="00000000">
      <w:pPr>
        <w:ind w:left="-360" w:right="-630"/>
        <w:rPr>
          <w:b/>
          <w:color w:val="38761D"/>
        </w:rPr>
      </w:pPr>
      <w:r>
        <w:rPr>
          <w:b/>
        </w:rPr>
        <w:t xml:space="preserve">False:    </w:t>
      </w:r>
      <w:r>
        <w:t xml:space="preserve">MTSS is a general education initiative that offers a comprehensive continuum of </w:t>
      </w:r>
      <w:proofErr w:type="gramStart"/>
      <w:r>
        <w:t>supports</w:t>
      </w:r>
      <w:proofErr w:type="gramEnd"/>
      <w:r>
        <w:t xml:space="preserve"> intended to meet the needs of all </w:t>
      </w:r>
      <w:proofErr w:type="gramStart"/>
      <w:r>
        <w:t>learners</w:t>
      </w:r>
      <w:proofErr w:type="gramEnd"/>
      <w:r>
        <w:t xml:space="preserve"> but it is not a pathway, nor intended to be a barrier, to special education. MTSS is a proactive approach to identifying student needs and is intended to help struggling students remain in general education with tiered </w:t>
      </w:r>
      <w:proofErr w:type="gramStart"/>
      <w:r>
        <w:t>supports</w:t>
      </w:r>
      <w:proofErr w:type="gramEnd"/>
      <w:r>
        <w:t xml:space="preserve"> whenever possible. This is often a change of both mindset and practice for adults if processes have typically leaned toward special education placement (and potentially a lifelong label) as a first step to receive help.  </w:t>
      </w:r>
    </w:p>
    <w:p w14:paraId="66333A81" w14:textId="77777777" w:rsidR="00BC6BD0" w:rsidRDefault="00BC6BD0">
      <w:pPr>
        <w:ind w:left="-360" w:right="-630"/>
        <w:rPr>
          <w:b/>
        </w:rPr>
      </w:pPr>
    </w:p>
    <w:p w14:paraId="56585A54" w14:textId="77777777" w:rsidR="00BC6BD0" w:rsidRDefault="00000000">
      <w:pPr>
        <w:spacing w:after="200"/>
        <w:ind w:left="-360" w:right="-630"/>
        <w:rPr>
          <w:b/>
        </w:rPr>
      </w:pPr>
      <w:r w:rsidRPr="006C6294">
        <w:rPr>
          <w:b/>
          <w:color w:val="256900"/>
          <w:shd w:val="clear" w:color="auto" w:fill="D9D9D9"/>
        </w:rPr>
        <w:t>TRUE or FALSE</w:t>
      </w:r>
      <w:proofErr w:type="gramStart"/>
      <w:r w:rsidRPr="006C6294">
        <w:rPr>
          <w:b/>
          <w:color w:val="256900"/>
          <w:shd w:val="clear" w:color="auto" w:fill="D9D9D9"/>
        </w:rPr>
        <w:tab/>
      </w:r>
      <w:r>
        <w:rPr>
          <w:b/>
          <w:shd w:val="clear" w:color="auto" w:fill="D9D9D9"/>
        </w:rPr>
        <w:t xml:space="preserve">  </w:t>
      </w:r>
      <w:r w:rsidRPr="006C6294">
        <w:rPr>
          <w:b/>
          <w:color w:val="256900"/>
          <w:shd w:val="clear" w:color="auto" w:fill="D9D9D9"/>
        </w:rPr>
        <w:t>MTSS</w:t>
      </w:r>
      <w:proofErr w:type="gramEnd"/>
      <w:r w:rsidRPr="006C6294">
        <w:rPr>
          <w:b/>
          <w:color w:val="256900"/>
          <w:shd w:val="clear" w:color="auto" w:fill="D9D9D9"/>
        </w:rPr>
        <w:t xml:space="preserve"> paperwork and data collection are only for MTSS.</w:t>
      </w:r>
    </w:p>
    <w:p w14:paraId="168E1ED6" w14:textId="77777777" w:rsidR="00BC6BD0" w:rsidRDefault="00000000">
      <w:pPr>
        <w:ind w:left="-360" w:right="-630"/>
      </w:pPr>
      <w:r>
        <w:rPr>
          <w:b/>
        </w:rPr>
        <w:t xml:space="preserve">False:    </w:t>
      </w:r>
      <w:r>
        <w:t xml:space="preserve">In reality, documenting steps teachers and teams have taken to better understand and respond to student needs should be helpful at all levels of promoting students' success. If a student is suspected of having a disability, data that show response to instruction and intervention can be used as part of the comprehensive evaluation procedures and potential determination for special education eligibility. If special education needs are identified, this record of instructional problem solving and progress monitoring of interventions can help support the determination. MTSS documentation will also </w:t>
      </w:r>
      <w:proofErr w:type="gramStart"/>
      <w:r>
        <w:t>inform</w:t>
      </w:r>
      <w:proofErr w:type="gramEnd"/>
      <w:r>
        <w:t xml:space="preserve"> the development of impactful and effective IEPs. </w:t>
      </w:r>
    </w:p>
    <w:p w14:paraId="6541B4CF" w14:textId="77777777" w:rsidR="00BC6BD0" w:rsidRDefault="00BC6BD0">
      <w:pPr>
        <w:ind w:left="-360" w:right="-630"/>
      </w:pPr>
    </w:p>
    <w:p w14:paraId="24C24477" w14:textId="77777777" w:rsidR="00BC6BD0" w:rsidRDefault="00000000">
      <w:pPr>
        <w:spacing w:after="200"/>
        <w:ind w:left="-360" w:right="-630"/>
        <w:rPr>
          <w:b/>
        </w:rPr>
      </w:pPr>
      <w:r w:rsidRPr="006C6294">
        <w:rPr>
          <w:b/>
          <w:color w:val="256900"/>
          <w:shd w:val="clear" w:color="auto" w:fill="D9D9D9"/>
        </w:rPr>
        <w:t>TRUE or FALSE</w:t>
      </w:r>
      <w:r w:rsidRPr="006C6294">
        <w:rPr>
          <w:b/>
          <w:color w:val="256900"/>
          <w:shd w:val="clear" w:color="auto" w:fill="D9D9D9"/>
        </w:rPr>
        <w:tab/>
        <w:t>MTSS is not my job.</w:t>
      </w:r>
    </w:p>
    <w:p w14:paraId="4BC945D9" w14:textId="77777777" w:rsidR="00BC6BD0" w:rsidRDefault="00000000">
      <w:pPr>
        <w:ind w:left="-360" w:right="-630"/>
      </w:pPr>
      <w:r>
        <w:rPr>
          <w:b/>
        </w:rPr>
        <w:t xml:space="preserve">False:    </w:t>
      </w:r>
      <w:r>
        <w:t xml:space="preserve">MTSS is a schoolwide framework where everyone has a role to play, including teachers, paraprofessionals, administrators, counselors, specialists, caregivers, etc. Representation on teams within </w:t>
      </w:r>
      <w:r>
        <w:lastRenderedPageBreak/>
        <w:t xml:space="preserve">your school should also reflect a cross-section of knowledge and expertise. These teams might include general education teachers, special education teachers, interventionists, specialists in reading, math or behavior, administrators, social workers and counselors. </w:t>
      </w:r>
    </w:p>
    <w:p w14:paraId="03896DA7" w14:textId="77777777" w:rsidR="00BC6BD0" w:rsidRDefault="00BC6BD0">
      <w:pPr>
        <w:spacing w:after="200"/>
        <w:ind w:left="-360" w:right="-630"/>
      </w:pPr>
    </w:p>
    <w:p w14:paraId="4A404EA6" w14:textId="77777777" w:rsidR="00BC6BD0" w:rsidRDefault="00000000">
      <w:pPr>
        <w:spacing w:after="200"/>
        <w:ind w:left="-360" w:right="-630"/>
        <w:rPr>
          <w:b/>
          <w:color w:val="38761D"/>
        </w:rPr>
      </w:pPr>
      <w:r w:rsidRPr="006C6294">
        <w:rPr>
          <w:b/>
          <w:color w:val="256900"/>
          <w:shd w:val="clear" w:color="auto" w:fill="D9D9D9"/>
        </w:rPr>
        <w:t>TRUE or FALSE</w:t>
      </w:r>
      <w:r w:rsidRPr="006C6294">
        <w:rPr>
          <w:b/>
          <w:color w:val="256900"/>
          <w:shd w:val="clear" w:color="auto" w:fill="D9D9D9"/>
        </w:rPr>
        <w:tab/>
        <w:t xml:space="preserve"> Students eligible for special education services can still be supported by MTSS.</w:t>
      </w:r>
    </w:p>
    <w:p w14:paraId="20160BE0" w14:textId="77777777" w:rsidR="00BC6BD0" w:rsidRDefault="00000000">
      <w:pPr>
        <w:ind w:left="-360" w:right="-630"/>
      </w:pPr>
      <w:r>
        <w:rPr>
          <w:b/>
        </w:rPr>
        <w:t xml:space="preserve">True:    </w:t>
      </w:r>
      <w:r>
        <w:t xml:space="preserve">All students, including students with disabilities, have access to Tier 2 and Tier 3 intervention supports that are matched to their needs. A student with an IEP or a 504 Plan will benefit from the schoolwide MTSS, wherein they will be </w:t>
      </w:r>
      <w:proofErr w:type="gramStart"/>
      <w:r>
        <w:t>provided supports</w:t>
      </w:r>
      <w:proofErr w:type="gramEnd"/>
      <w:r>
        <w:t xml:space="preserve"> at all tiers and in the least restrictive environment. We must remain conscientious about not labeling or </w:t>
      </w:r>
      <w:proofErr w:type="gramStart"/>
      <w:r>
        <w:t>siloing</w:t>
      </w:r>
      <w:proofErr w:type="gramEnd"/>
      <w:r>
        <w:t xml:space="preserve"> students according to their deficits. A seamless and fluid MTSS allows for flexibility in meeting student needs. For example, a student may receive Tier 1 </w:t>
      </w:r>
      <w:proofErr w:type="gramStart"/>
      <w:r>
        <w:t>supports</w:t>
      </w:r>
      <w:proofErr w:type="gramEnd"/>
      <w:r>
        <w:t xml:space="preserve"> in a classroom, Tier 2 reading supports during an intervention block and Tier 3 services for social emotional support, while simultaneously all components of the IEP are delivered as required. </w:t>
      </w:r>
    </w:p>
    <w:p w14:paraId="08D2547D" w14:textId="77777777" w:rsidR="00BC6BD0" w:rsidRDefault="00BC6BD0">
      <w:pPr>
        <w:ind w:left="-360" w:right="-630"/>
      </w:pPr>
    </w:p>
    <w:p w14:paraId="07FFF729" w14:textId="77777777" w:rsidR="00BC6BD0" w:rsidRPr="006C6294" w:rsidRDefault="00000000">
      <w:pPr>
        <w:spacing w:after="200"/>
        <w:ind w:left="-360" w:right="-630"/>
        <w:rPr>
          <w:b/>
          <w:color w:val="256900"/>
          <w:shd w:val="clear" w:color="auto" w:fill="D9D9D9"/>
        </w:rPr>
      </w:pPr>
      <w:r w:rsidRPr="006C6294">
        <w:rPr>
          <w:b/>
          <w:color w:val="256900"/>
          <w:shd w:val="clear" w:color="auto" w:fill="D9D9D9"/>
        </w:rPr>
        <w:t>TRUE or FALSE</w:t>
      </w:r>
      <w:r w:rsidRPr="006C6294">
        <w:rPr>
          <w:b/>
          <w:color w:val="256900"/>
          <w:shd w:val="clear" w:color="auto" w:fill="D9D9D9"/>
        </w:rPr>
        <w:tab/>
        <w:t>If a student receives Special Education, MTSS problem solving stops.</w:t>
      </w:r>
    </w:p>
    <w:p w14:paraId="01B998C5" w14:textId="77777777" w:rsidR="00BC6BD0" w:rsidRDefault="00000000">
      <w:pPr>
        <w:ind w:left="-360" w:right="-630"/>
      </w:pPr>
      <w:r>
        <w:rPr>
          <w:b/>
        </w:rPr>
        <w:t xml:space="preserve">False:    </w:t>
      </w:r>
      <w:r>
        <w:t xml:space="preserve">Problem solving and continuous improvement are cycles that should never end. Special Education teams should continue to engage in processes that evaluate their goals and services for students, for instance by using problem solving methods that can help IEP students move from higher levels of intensive </w:t>
      </w:r>
      <w:proofErr w:type="gramStart"/>
      <w:r>
        <w:t>supports</w:t>
      </w:r>
      <w:proofErr w:type="gramEnd"/>
      <w:r>
        <w:t xml:space="preserve"> into Tier 2 or Tier 1 instruction/support. This practice helps ensure that services are provided within the least restrictive environment. Consistent problem solving and use of data within a comprehensive MTSS continuum of </w:t>
      </w:r>
      <w:proofErr w:type="gramStart"/>
      <w:r>
        <w:t>supports</w:t>
      </w:r>
      <w:proofErr w:type="gramEnd"/>
      <w:r>
        <w:t xml:space="preserve"> can also help determine if/when a student should be exiting from an IEP.</w:t>
      </w:r>
    </w:p>
    <w:p w14:paraId="48266BDF" w14:textId="77777777" w:rsidR="00BC6BD0" w:rsidRDefault="00BC6BD0">
      <w:pPr>
        <w:ind w:left="-360" w:right="-630"/>
        <w:rPr>
          <w:b/>
        </w:rPr>
      </w:pPr>
    </w:p>
    <w:p w14:paraId="05052D99" w14:textId="77777777" w:rsidR="00BC6BD0" w:rsidRPr="006C6294" w:rsidRDefault="00000000">
      <w:pPr>
        <w:spacing w:after="200"/>
        <w:ind w:left="-360" w:right="-630"/>
        <w:rPr>
          <w:b/>
          <w:color w:val="256900"/>
          <w:shd w:val="clear" w:color="auto" w:fill="D9D9D9"/>
        </w:rPr>
      </w:pPr>
      <w:r w:rsidRPr="006C6294">
        <w:rPr>
          <w:b/>
          <w:color w:val="256900"/>
          <w:shd w:val="clear" w:color="auto" w:fill="D9D9D9"/>
        </w:rPr>
        <w:t>TRUE or FALSE</w:t>
      </w:r>
      <w:r w:rsidRPr="006C6294">
        <w:rPr>
          <w:b/>
          <w:color w:val="256900"/>
          <w:shd w:val="clear" w:color="auto" w:fill="D9D9D9"/>
        </w:rPr>
        <w:tab/>
        <w:t xml:space="preserve">I’m a </w:t>
      </w:r>
      <w:proofErr w:type="gramStart"/>
      <w:r w:rsidRPr="006C6294">
        <w:rPr>
          <w:b/>
          <w:color w:val="256900"/>
          <w:shd w:val="clear" w:color="auto" w:fill="D9D9D9"/>
        </w:rPr>
        <w:t>long time</w:t>
      </w:r>
      <w:proofErr w:type="gramEnd"/>
      <w:r w:rsidRPr="006C6294">
        <w:rPr>
          <w:b/>
          <w:color w:val="256900"/>
          <w:shd w:val="clear" w:color="auto" w:fill="D9D9D9"/>
        </w:rPr>
        <w:t xml:space="preserve"> educator and I just know which students need special education. </w:t>
      </w:r>
    </w:p>
    <w:p w14:paraId="32B2FA0F" w14:textId="77777777" w:rsidR="00BC6BD0" w:rsidRDefault="00000000">
      <w:pPr>
        <w:ind w:left="-360" w:right="-630"/>
      </w:pPr>
      <w:r>
        <w:rPr>
          <w:b/>
        </w:rPr>
        <w:t>False:</w:t>
      </w:r>
      <w:r>
        <w:rPr>
          <w:b/>
          <w:color w:val="38761D"/>
        </w:rPr>
        <w:t xml:space="preserve">   </w:t>
      </w:r>
      <w:r>
        <w:t>While many educators possess a wealth of invaluable experience, it is crucial that decisions about students are made by teams considering multiple sources of student data and assessing their response to evidence-based interventions. Certainly, some students need “more than the core” but they might not need special education. MTSS supports effective decision making throughout your system for all students.</w:t>
      </w:r>
    </w:p>
    <w:p w14:paraId="172FE320" w14:textId="77777777" w:rsidR="00BC6BD0" w:rsidRDefault="00BC6BD0">
      <w:pPr>
        <w:ind w:left="-360" w:right="-630"/>
      </w:pPr>
    </w:p>
    <w:p w14:paraId="2328F5A7" w14:textId="77777777" w:rsidR="00BC6BD0" w:rsidRDefault="00000000">
      <w:pPr>
        <w:ind w:left="-360" w:right="-630"/>
        <w:rPr>
          <w:b/>
        </w:rPr>
      </w:pPr>
      <w:r>
        <w:rPr>
          <w:b/>
        </w:rPr>
        <w:t>GUIDING QUESTIONS:</w:t>
      </w:r>
    </w:p>
    <w:p w14:paraId="7564D5E4" w14:textId="77777777" w:rsidR="00BC6BD0" w:rsidRDefault="00000000">
      <w:pPr>
        <w:numPr>
          <w:ilvl w:val="0"/>
          <w:numId w:val="1"/>
        </w:numPr>
        <w:spacing w:before="200"/>
        <w:ind w:right="-630"/>
        <w:rPr>
          <w:sz w:val="22"/>
          <w:szCs w:val="22"/>
        </w:rPr>
      </w:pPr>
      <w:r>
        <w:rPr>
          <w:sz w:val="22"/>
          <w:szCs w:val="22"/>
        </w:rPr>
        <w:t>Considering your role, which statements resonate the most with you?</w:t>
      </w:r>
    </w:p>
    <w:p w14:paraId="386E7DF2" w14:textId="77777777" w:rsidR="00BC6BD0" w:rsidRDefault="00000000">
      <w:pPr>
        <w:numPr>
          <w:ilvl w:val="0"/>
          <w:numId w:val="1"/>
        </w:numPr>
        <w:ind w:right="-630"/>
        <w:rPr>
          <w:sz w:val="22"/>
          <w:szCs w:val="22"/>
        </w:rPr>
      </w:pPr>
      <w:r>
        <w:rPr>
          <w:sz w:val="22"/>
          <w:szCs w:val="22"/>
        </w:rPr>
        <w:t xml:space="preserve">To promote better understanding, how should MTSS be discussed differently in your setting?  </w:t>
      </w:r>
    </w:p>
    <w:p w14:paraId="01E278F8" w14:textId="77777777" w:rsidR="00BC6BD0" w:rsidRDefault="00000000">
      <w:pPr>
        <w:numPr>
          <w:ilvl w:val="0"/>
          <w:numId w:val="1"/>
        </w:numPr>
        <w:ind w:right="-630"/>
        <w:rPr>
          <w:sz w:val="22"/>
          <w:szCs w:val="22"/>
        </w:rPr>
      </w:pPr>
      <w:r>
        <w:rPr>
          <w:sz w:val="22"/>
          <w:szCs w:val="22"/>
        </w:rPr>
        <w:t>In what ways can your stakeholders (staff, students or families) experience MTSS differently?</w:t>
      </w:r>
    </w:p>
    <w:p w14:paraId="68478394" w14:textId="77777777" w:rsidR="00BC6BD0" w:rsidRDefault="00000000">
      <w:pPr>
        <w:numPr>
          <w:ilvl w:val="0"/>
          <w:numId w:val="1"/>
        </w:numPr>
        <w:spacing w:line="276" w:lineRule="auto"/>
        <w:ind w:right="-630"/>
        <w:rPr>
          <w:sz w:val="22"/>
          <w:szCs w:val="22"/>
        </w:rPr>
      </w:pPr>
      <w:r>
        <w:rPr>
          <w:sz w:val="22"/>
          <w:szCs w:val="22"/>
        </w:rPr>
        <w:t xml:space="preserve">What is currently in place, or can be put in place, to plan for improvements in your </w:t>
      </w:r>
      <w:proofErr w:type="gramStart"/>
      <w:r>
        <w:rPr>
          <w:sz w:val="22"/>
          <w:szCs w:val="22"/>
        </w:rPr>
        <w:t>MTSS ?</w:t>
      </w:r>
      <w:proofErr w:type="gramEnd"/>
      <w:r>
        <w:rPr>
          <w:sz w:val="22"/>
          <w:szCs w:val="22"/>
        </w:rPr>
        <w:t xml:space="preserve"> </w:t>
      </w:r>
    </w:p>
    <w:p w14:paraId="1A8FBB88" w14:textId="77777777" w:rsidR="00BC6BD0" w:rsidRDefault="00BC6BD0">
      <w:pPr>
        <w:ind w:left="-360" w:right="-630"/>
      </w:pPr>
    </w:p>
    <w:p w14:paraId="171A1711" w14:textId="77777777" w:rsidR="00BC6BD0" w:rsidRDefault="00000000">
      <w:pPr>
        <w:ind w:left="-360" w:right="-630"/>
        <w:rPr>
          <w:sz w:val="22"/>
          <w:szCs w:val="22"/>
        </w:rPr>
      </w:pPr>
      <w:proofErr w:type="gramStart"/>
      <w:r>
        <w:rPr>
          <w:b/>
          <w:sz w:val="22"/>
          <w:szCs w:val="22"/>
        </w:rPr>
        <w:t>REFERENCES</w:t>
      </w:r>
      <w:proofErr w:type="gramEnd"/>
      <w:r>
        <w:rPr>
          <w:b/>
          <w:sz w:val="22"/>
          <w:szCs w:val="22"/>
        </w:rPr>
        <w:t>:</w:t>
      </w:r>
    </w:p>
    <w:p w14:paraId="5EF3A5AA" w14:textId="77777777" w:rsidR="00BC6BD0" w:rsidRDefault="00000000">
      <w:pPr>
        <w:ind w:left="-360" w:right="-630"/>
        <w:rPr>
          <w:sz w:val="20"/>
          <w:szCs w:val="20"/>
        </w:rPr>
      </w:pPr>
      <w:r>
        <w:rPr>
          <w:sz w:val="20"/>
          <w:szCs w:val="20"/>
        </w:rPr>
        <w:t xml:space="preserve">“MTSS Myths and Truths for Educators” (excerpts) Florida's Problem Solving/Response to Intervention Project, a collaborative project between the Florida Dept of Education and the University of South Florida. </w:t>
      </w:r>
      <w:hyperlink r:id="rId8">
        <w:r>
          <w:rPr>
            <w:color w:val="1155CC"/>
            <w:sz w:val="20"/>
            <w:szCs w:val="20"/>
            <w:u w:val="single"/>
          </w:rPr>
          <w:t>https://floridarti.usf.edu/</w:t>
        </w:r>
      </w:hyperlink>
    </w:p>
    <w:p w14:paraId="44275754" w14:textId="77777777" w:rsidR="00BC6BD0" w:rsidRDefault="00000000">
      <w:pPr>
        <w:ind w:left="-360" w:right="-630"/>
        <w:rPr>
          <w:sz w:val="20"/>
          <w:szCs w:val="20"/>
        </w:rPr>
      </w:pPr>
      <w:r>
        <w:rPr>
          <w:sz w:val="20"/>
          <w:szCs w:val="20"/>
        </w:rPr>
        <w:t xml:space="preserve">“Multi-Tiered System of Supports (MTSS) Myth Buster" (excerpts). The University of Texas System/Texas Education Agency.  </w:t>
      </w:r>
      <w:hyperlink r:id="rId9">
        <w:r>
          <w:rPr>
            <w:color w:val="1155CC"/>
            <w:sz w:val="20"/>
            <w:szCs w:val="20"/>
            <w:u w:val="single"/>
          </w:rPr>
          <w:t>https://spedsupport.tea.texas.gov/topics/mtss</w:t>
        </w:r>
      </w:hyperlink>
    </w:p>
    <w:sectPr w:rsidR="00BC6BD0">
      <w:footerReference w:type="default" r:id="rId10"/>
      <w:headerReference w:type="first" r:id="rId11"/>
      <w:footerReference w:type="first" r:id="rId12"/>
      <w:pgSz w:w="12240" w:h="15840"/>
      <w:pgMar w:top="1857" w:right="1440" w:bottom="1440" w:left="1267" w:header="431"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F071" w14:textId="77777777" w:rsidR="0049243C" w:rsidRDefault="0049243C">
      <w:r>
        <w:separator/>
      </w:r>
    </w:p>
  </w:endnote>
  <w:endnote w:type="continuationSeparator" w:id="0">
    <w:p w14:paraId="6516453D" w14:textId="77777777" w:rsidR="0049243C" w:rsidRDefault="004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4E38" w14:textId="77777777" w:rsidR="00BC6BD0" w:rsidRDefault="00000000">
    <w:pPr>
      <w:keepLines/>
      <w:jc w:val="center"/>
      <w:rPr>
        <w:sz w:val="22"/>
        <w:szCs w:val="22"/>
      </w:rPr>
    </w:pPr>
    <w:r>
      <w:rPr>
        <w:sz w:val="22"/>
        <w:szCs w:val="22"/>
      </w:rPr>
      <w:t xml:space="preserve">ILLINOIS MTSS NETWORK </w:t>
    </w:r>
    <w:r>
      <w:rPr>
        <w:sz w:val="28"/>
        <w:szCs w:val="28"/>
      </w:rPr>
      <w:t>I</w:t>
    </w:r>
    <w:r>
      <w:rPr>
        <w:sz w:val="22"/>
        <w:szCs w:val="22"/>
      </w:rPr>
      <w:t xml:space="preserve"> Northern Illinois University, 307 Lowden Hall, Dekalb, IL. 60015</w:t>
    </w:r>
    <w:r>
      <w:rPr>
        <w:noProof/>
      </w:rPr>
      <mc:AlternateContent>
        <mc:Choice Requires="wps">
          <w:drawing>
            <wp:anchor distT="0" distB="0" distL="114300" distR="114300" simplePos="0" relativeHeight="251660288" behindDoc="0" locked="0" layoutInCell="1" hidden="0" allowOverlap="1" wp14:anchorId="541391BF" wp14:editId="0DCB4181">
              <wp:simplePos x="0" y="0"/>
              <wp:positionH relativeFrom="column">
                <wp:posOffset>-111121</wp:posOffset>
              </wp:positionH>
              <wp:positionV relativeFrom="paragraph">
                <wp:posOffset>9490075</wp:posOffset>
              </wp:positionV>
              <wp:extent cx="6467475" cy="721995"/>
              <wp:effectExtent l="0" t="0" r="0" b="0"/>
              <wp:wrapNone/>
              <wp:docPr id="40" name="Rectangle 40"/>
              <wp:cNvGraphicFramePr/>
              <a:graphic xmlns:a="http://schemas.openxmlformats.org/drawingml/2006/main">
                <a:graphicData uri="http://schemas.microsoft.com/office/word/2010/wordprocessingShape">
                  <wps:wsp>
                    <wps:cNvSpPr/>
                    <wps:spPr>
                      <a:xfrm>
                        <a:off x="2126550" y="3433290"/>
                        <a:ext cx="6438900" cy="693420"/>
                      </a:xfrm>
                      <a:prstGeom prst="rect">
                        <a:avLst/>
                      </a:prstGeom>
                      <a:noFill/>
                      <a:ln>
                        <a:noFill/>
                      </a:ln>
                    </wps:spPr>
                    <wps:txbx>
                      <w:txbxContent>
                        <w:p w14:paraId="6A72C1F3" w14:textId="77777777" w:rsidR="00BC6BD0" w:rsidRDefault="00000000">
                          <w:pPr>
                            <w:jc w:val="center"/>
                            <w:textDirection w:val="btLr"/>
                          </w:pPr>
                          <w:r>
                            <w:rPr>
                              <w:color w:val="000000"/>
                              <w:sz w:val="18"/>
                            </w:rPr>
                            <w:t>1001 W. 23</w:t>
                          </w:r>
                          <w:r>
                            <w:rPr>
                              <w:color w:val="000000"/>
                              <w:sz w:val="18"/>
                              <w:vertAlign w:val="superscript"/>
                            </w:rPr>
                            <w:t>rd</w:t>
                          </w:r>
                          <w:r>
                            <w:rPr>
                              <w:color w:val="000000"/>
                              <w:sz w:val="18"/>
                            </w:rPr>
                            <w:t xml:space="preserve"> Street, Sterling, IL  61801          Phone: 815-625-1495   Fax: 815-625-1625.         </w:t>
                          </w:r>
                          <w:r>
                            <w:rPr>
                              <w:color w:val="0563C1"/>
                              <w:sz w:val="18"/>
                              <w:u w:val="single"/>
                            </w:rPr>
                            <w:t>ilmtssnetwork@ilmtss.net</w:t>
                          </w:r>
                        </w:p>
                        <w:p w14:paraId="4F876862" w14:textId="77777777" w:rsidR="00BC6BD0" w:rsidRDefault="00000000">
                          <w:pPr>
                            <w:jc w:val="center"/>
                            <w:textDirection w:val="btLr"/>
                          </w:pPr>
                          <w:r>
                            <w:rPr>
                              <w:b/>
                              <w:color w:val="2F5496"/>
                              <w:sz w:val="18"/>
                            </w:rPr>
                            <w:t>www.ILMTSS.net</w:t>
                          </w:r>
                        </w:p>
                        <w:p w14:paraId="18BC6107" w14:textId="77777777" w:rsidR="00BC6BD0" w:rsidRDefault="00BC6BD0">
                          <w:pPr>
                            <w:textDirection w:val="btLr"/>
                          </w:pPr>
                        </w:p>
                      </w:txbxContent>
                    </wps:txbx>
                    <wps:bodyPr spcFirstLastPara="1" wrap="square" lIns="0" tIns="45700" rIns="91425" bIns="45700" anchor="t" anchorCtr="0">
                      <a:noAutofit/>
                    </wps:bodyPr>
                  </wps:wsp>
                </a:graphicData>
              </a:graphic>
            </wp:anchor>
          </w:drawing>
        </mc:Choice>
        <mc:Fallback>
          <w:pict>
            <v:rect w14:anchorId="541391BF" id="Rectangle 40" o:spid="_x0000_s1026" style="position:absolute;left:0;text-align:left;margin-left:-8.75pt;margin-top:747.25pt;width:509.25pt;height:5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" filled="f" stroked="f">
              <v:textbox inset="0,1.2694mm,2.53958mm,1.2694mm">
                <w:txbxContent>
                  <w:p w14:paraId="6A72C1F3" w14:textId="77777777" w:rsidR="00BC6BD0" w:rsidRDefault="00000000">
                    <w:pPr>
                      <w:jc w:val="center"/>
                      <w:textDirection w:val="btLr"/>
                    </w:pPr>
                    <w:r>
                      <w:rPr>
                        <w:color w:val="000000"/>
                        <w:sz w:val="18"/>
                      </w:rPr>
                      <w:t>1001 W. 23</w:t>
                    </w:r>
                    <w:r>
                      <w:rPr>
                        <w:color w:val="000000"/>
                        <w:sz w:val="18"/>
                        <w:vertAlign w:val="superscript"/>
                      </w:rPr>
                      <w:t>rd</w:t>
                    </w:r>
                    <w:r>
                      <w:rPr>
                        <w:color w:val="000000"/>
                        <w:sz w:val="18"/>
                      </w:rPr>
                      <w:t xml:space="preserve"> Street, Sterling, IL  61801          Phone: 815-625-1495   Fax: 815-625-1625.         </w:t>
                    </w:r>
                    <w:r>
                      <w:rPr>
                        <w:color w:val="0563C1"/>
                        <w:sz w:val="18"/>
                        <w:u w:val="single"/>
                      </w:rPr>
                      <w:t>ilmtssnetwork@ilmtss.net</w:t>
                    </w:r>
                  </w:p>
                  <w:p w14:paraId="4F876862" w14:textId="77777777" w:rsidR="00BC6BD0" w:rsidRDefault="00000000">
                    <w:pPr>
                      <w:jc w:val="center"/>
                      <w:textDirection w:val="btLr"/>
                    </w:pPr>
                    <w:r>
                      <w:rPr>
                        <w:b/>
                        <w:color w:val="2F5496"/>
                        <w:sz w:val="18"/>
                      </w:rPr>
                      <w:t>www.ILMTSS.net</w:t>
                    </w:r>
                  </w:p>
                  <w:p w14:paraId="18BC6107" w14:textId="77777777" w:rsidR="00BC6BD0" w:rsidRDefault="00BC6BD0">
                    <w:pPr>
                      <w:textDirection w:val="btLr"/>
                    </w:pPr>
                  </w:p>
                </w:txbxContent>
              </v:textbox>
            </v:rect>
          </w:pict>
        </mc:Fallback>
      </mc:AlternateContent>
    </w:r>
  </w:p>
  <w:p w14:paraId="31A4995B" w14:textId="77777777" w:rsidR="00BC6BD0" w:rsidRDefault="00000000">
    <w:pPr>
      <w:keepLines/>
      <w:jc w:val="center"/>
    </w:pPr>
    <w:r>
      <w:rPr>
        <w:sz w:val="22"/>
        <w:szCs w:val="22"/>
      </w:rPr>
      <w:t>Website: ilmtss.niu.edu     Email: ilmtss@niu.edu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71F5" w14:textId="77777777" w:rsidR="00BC6BD0" w:rsidRDefault="00000000">
    <w:r>
      <w:rPr>
        <w:noProof/>
      </w:rPr>
      <w:drawing>
        <wp:anchor distT="0" distB="0" distL="0" distR="0" simplePos="0" relativeHeight="251661312" behindDoc="1" locked="0" layoutInCell="1" hidden="0" allowOverlap="1" wp14:anchorId="4DB0163F" wp14:editId="63E6240B">
          <wp:simplePos x="0" y="0"/>
          <wp:positionH relativeFrom="column">
            <wp:posOffset>-933446</wp:posOffset>
          </wp:positionH>
          <wp:positionV relativeFrom="paragraph">
            <wp:posOffset>7268007</wp:posOffset>
          </wp:positionV>
          <wp:extent cx="7808595" cy="54610"/>
          <wp:effectExtent l="0" t="0" r="1905" b="2540"/>
          <wp:wrapNone/>
          <wp:docPr id="45"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808595" cy="5461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2DCD95F0" wp14:editId="42FDE524">
              <wp:simplePos x="0" y="0"/>
              <wp:positionH relativeFrom="column">
                <wp:posOffset>-111121</wp:posOffset>
              </wp:positionH>
              <wp:positionV relativeFrom="paragraph">
                <wp:posOffset>9490075</wp:posOffset>
              </wp:positionV>
              <wp:extent cx="6467475" cy="721995"/>
              <wp:effectExtent l="0" t="0" r="0" b="0"/>
              <wp:wrapNone/>
              <wp:docPr id="43" name="Rectangle 43"/>
              <wp:cNvGraphicFramePr/>
              <a:graphic xmlns:a="http://schemas.openxmlformats.org/drawingml/2006/main">
                <a:graphicData uri="http://schemas.microsoft.com/office/word/2010/wordprocessingShape">
                  <wps:wsp>
                    <wps:cNvSpPr/>
                    <wps:spPr>
                      <a:xfrm>
                        <a:off x="2126550" y="3433290"/>
                        <a:ext cx="6438900" cy="693420"/>
                      </a:xfrm>
                      <a:prstGeom prst="rect">
                        <a:avLst/>
                      </a:prstGeom>
                      <a:noFill/>
                      <a:ln>
                        <a:noFill/>
                      </a:ln>
                    </wps:spPr>
                    <wps:txbx>
                      <w:txbxContent>
                        <w:p w14:paraId="5B55F4DA" w14:textId="77777777" w:rsidR="00BC6BD0" w:rsidRDefault="00000000">
                          <w:pPr>
                            <w:jc w:val="center"/>
                            <w:textDirection w:val="btLr"/>
                          </w:pPr>
                          <w:r>
                            <w:rPr>
                              <w:color w:val="000000"/>
                              <w:sz w:val="18"/>
                            </w:rPr>
                            <w:t>1001 W. 23</w:t>
                          </w:r>
                          <w:r>
                            <w:rPr>
                              <w:color w:val="000000"/>
                              <w:sz w:val="18"/>
                              <w:vertAlign w:val="superscript"/>
                            </w:rPr>
                            <w:t>rd</w:t>
                          </w:r>
                          <w:r>
                            <w:rPr>
                              <w:color w:val="000000"/>
                              <w:sz w:val="18"/>
                            </w:rPr>
                            <w:t xml:space="preserve"> Street, Sterling, IL  61801          Phone: 815-625-1495   Fax: 815-625-1625.         </w:t>
                          </w:r>
                          <w:r>
                            <w:rPr>
                              <w:color w:val="0563C1"/>
                              <w:sz w:val="18"/>
                              <w:u w:val="single"/>
                            </w:rPr>
                            <w:t>ilmtssnetwork@ilmtss.net</w:t>
                          </w:r>
                        </w:p>
                        <w:p w14:paraId="0B9F44FC" w14:textId="77777777" w:rsidR="00BC6BD0" w:rsidRDefault="00000000">
                          <w:pPr>
                            <w:jc w:val="center"/>
                            <w:textDirection w:val="btLr"/>
                          </w:pPr>
                          <w:r>
                            <w:rPr>
                              <w:b/>
                              <w:color w:val="2F5496"/>
                              <w:sz w:val="18"/>
                            </w:rPr>
                            <w:t>www.ILMTSS.net</w:t>
                          </w:r>
                        </w:p>
                        <w:p w14:paraId="78263FB3" w14:textId="77777777" w:rsidR="00BC6BD0" w:rsidRDefault="00BC6BD0">
                          <w:pPr>
                            <w:textDirection w:val="btLr"/>
                          </w:pPr>
                        </w:p>
                      </w:txbxContent>
                    </wps:txbx>
                    <wps:bodyPr spcFirstLastPara="1" wrap="square" lIns="0" tIns="45700" rIns="91425" bIns="45700" anchor="t" anchorCtr="0">
                      <a:noAutofit/>
                    </wps:bodyPr>
                  </wps:wsp>
                </a:graphicData>
              </a:graphic>
            </wp:anchor>
          </w:drawing>
        </mc:Choice>
        <mc:Fallback>
          <w:pict>
            <v:rect w14:anchorId="2DCD95F0" id="Rectangle 43" o:spid="_x0000_s1027" style="position:absolute;margin-left:-8.75pt;margin-top:747.25pt;width:509.25pt;height:56.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" filled="f" stroked="f">
              <v:textbox inset="0,1.2694mm,2.53958mm,1.2694mm">
                <w:txbxContent>
                  <w:p w14:paraId="5B55F4DA" w14:textId="77777777" w:rsidR="00BC6BD0" w:rsidRDefault="00000000">
                    <w:pPr>
                      <w:jc w:val="center"/>
                      <w:textDirection w:val="btLr"/>
                    </w:pPr>
                    <w:r>
                      <w:rPr>
                        <w:color w:val="000000"/>
                        <w:sz w:val="18"/>
                      </w:rPr>
                      <w:t>1001 W. 23</w:t>
                    </w:r>
                    <w:r>
                      <w:rPr>
                        <w:color w:val="000000"/>
                        <w:sz w:val="18"/>
                        <w:vertAlign w:val="superscript"/>
                      </w:rPr>
                      <w:t>rd</w:t>
                    </w:r>
                    <w:r>
                      <w:rPr>
                        <w:color w:val="000000"/>
                        <w:sz w:val="18"/>
                      </w:rPr>
                      <w:t xml:space="preserve"> Street, Sterling, IL  61801          Phone: 815-625-1495   Fax: 815-625-1625.         </w:t>
                    </w:r>
                    <w:r>
                      <w:rPr>
                        <w:color w:val="0563C1"/>
                        <w:sz w:val="18"/>
                        <w:u w:val="single"/>
                      </w:rPr>
                      <w:t>ilmtssnetwork@ilmtss.net</w:t>
                    </w:r>
                  </w:p>
                  <w:p w14:paraId="0B9F44FC" w14:textId="77777777" w:rsidR="00BC6BD0" w:rsidRDefault="00000000">
                    <w:pPr>
                      <w:jc w:val="center"/>
                      <w:textDirection w:val="btLr"/>
                    </w:pPr>
                    <w:r>
                      <w:rPr>
                        <w:b/>
                        <w:color w:val="2F5496"/>
                        <w:sz w:val="18"/>
                      </w:rPr>
                      <w:t>www.ILMTSS.net</w:t>
                    </w:r>
                  </w:p>
                  <w:p w14:paraId="78263FB3" w14:textId="77777777" w:rsidR="00BC6BD0" w:rsidRDefault="00BC6BD0">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14C5E76" wp14:editId="4E1DA18C">
              <wp:simplePos x="0" y="0"/>
              <wp:positionH relativeFrom="column">
                <wp:posOffset>-50797</wp:posOffset>
              </wp:positionH>
              <wp:positionV relativeFrom="paragraph">
                <wp:posOffset>-25397</wp:posOffset>
              </wp:positionV>
              <wp:extent cx="9525" cy="12700"/>
              <wp:effectExtent l="0" t="0" r="0" b="0"/>
              <wp:wrapNone/>
              <wp:docPr id="42" name="Straight Arrow Connector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0800000" flipH="1">
                        <a:off x="2240850" y="3775238"/>
                        <a:ext cx="6210300" cy="9525"/>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2A51870B" id="_x0000_t32" coordsize="21600,21600" o:spt="32" o:oned="t" path="m,l21600,21600e" filled="f">
              <v:path arrowok="t" fillok="f" o:connecttype="none"/>
              <o:lock v:ext="edit" shapetype="t"/>
            </v:shapetype>
            <v:shape id="Straight Arrow Connector 42" o:spid="_x0000_s1026" type="#_x0000_t32" alt="&quot;&quot;" style="position:absolute;margin-left:-4pt;margin-top:-2pt;width:.75pt;height:1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" strokecolor="#a5a5a5 [3206]">
              <v:stroke startarrowwidth="narrow" startarrowlength="short" endarrowwidth="narrow" endarrowlength="short" joinstyle="miter"/>
            </v:shape>
          </w:pict>
        </mc:Fallback>
      </mc:AlternateContent>
    </w:r>
  </w:p>
  <w:p w14:paraId="49F48E08" w14:textId="77777777" w:rsidR="00BC6BD0" w:rsidRDefault="00000000">
    <w:r>
      <w:rPr>
        <w:noProof/>
      </w:rPr>
      <w:drawing>
        <wp:anchor distT="0" distB="0" distL="0" distR="0" simplePos="0" relativeHeight="251664384" behindDoc="1" locked="0" layoutInCell="1" hidden="0" allowOverlap="1" wp14:anchorId="22B78ADD" wp14:editId="2762F303">
          <wp:simplePos x="0" y="0"/>
          <wp:positionH relativeFrom="column">
            <wp:posOffset>-933446</wp:posOffset>
          </wp:positionH>
          <wp:positionV relativeFrom="paragraph">
            <wp:posOffset>7268007</wp:posOffset>
          </wp:positionV>
          <wp:extent cx="7808595" cy="54610"/>
          <wp:effectExtent l="0" t="0" r="1905" b="2540"/>
          <wp:wrapNone/>
          <wp:docPr id="4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808595" cy="54610"/>
                  </a:xfrm>
                  <a:prstGeom prst="rect">
                    <a:avLst/>
                  </a:prstGeom>
                  <a:ln/>
                </pic:spPr>
              </pic:pic>
            </a:graphicData>
          </a:graphic>
        </wp:anchor>
      </w:drawing>
    </w:r>
  </w:p>
  <w:p w14:paraId="45F9B46E" w14:textId="77777777" w:rsidR="00BC6BD0" w:rsidRDefault="00000000">
    <w:r>
      <w:rPr>
        <w:noProof/>
      </w:rPr>
      <w:drawing>
        <wp:anchor distT="0" distB="0" distL="0" distR="0" simplePos="0" relativeHeight="251665408" behindDoc="1" locked="0" layoutInCell="1" hidden="0" allowOverlap="1" wp14:anchorId="033F3595" wp14:editId="6A09CBA9">
          <wp:simplePos x="0" y="0"/>
          <wp:positionH relativeFrom="column">
            <wp:posOffset>-933446</wp:posOffset>
          </wp:positionH>
          <wp:positionV relativeFrom="paragraph">
            <wp:posOffset>7268007</wp:posOffset>
          </wp:positionV>
          <wp:extent cx="7808595" cy="54610"/>
          <wp:effectExtent l="0" t="0" r="1905" b="2540"/>
          <wp:wrapNone/>
          <wp:docPr id="47"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7"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808595" cy="54610"/>
                  </a:xfrm>
                  <a:prstGeom prst="rect">
                    <a:avLst/>
                  </a:prstGeom>
                  <a:ln/>
                </pic:spPr>
              </pic:pic>
            </a:graphicData>
          </a:graphic>
        </wp:anchor>
      </w:drawing>
    </w:r>
  </w:p>
  <w:p w14:paraId="178BAC8A" w14:textId="77777777" w:rsidR="00BC6BD0" w:rsidRDefault="00000000">
    <w:pPr>
      <w:keepLines/>
      <w:jc w:val="center"/>
      <w:rPr>
        <w:sz w:val="22"/>
        <w:szCs w:val="22"/>
      </w:rPr>
    </w:pPr>
    <w:r>
      <w:rPr>
        <w:sz w:val="22"/>
        <w:szCs w:val="22"/>
      </w:rPr>
      <w:t xml:space="preserve">ILLINOIS MTSS NETWORK </w:t>
    </w:r>
    <w:r>
      <w:rPr>
        <w:sz w:val="28"/>
        <w:szCs w:val="28"/>
      </w:rPr>
      <w:t>I</w:t>
    </w:r>
    <w:r>
      <w:rPr>
        <w:sz w:val="22"/>
        <w:szCs w:val="22"/>
      </w:rPr>
      <w:t xml:space="preserve"> Northern Illinois University, 307 Lowden Hall, Dekalb, IL. 60015</w:t>
    </w:r>
  </w:p>
  <w:p w14:paraId="6466F609" w14:textId="77777777" w:rsidR="00BC6BD0" w:rsidRDefault="00000000">
    <w:pPr>
      <w:keepLines/>
      <w:jc w:val="center"/>
    </w:pPr>
    <w:r>
      <w:rPr>
        <w:sz w:val="22"/>
        <w:szCs w:val="22"/>
      </w:rPr>
      <w:t>Website: ilmtss.niu.edu     Email: ilmtss@niu.edu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0842" w14:textId="77777777" w:rsidR="0049243C" w:rsidRDefault="0049243C">
      <w:r>
        <w:separator/>
      </w:r>
    </w:p>
  </w:footnote>
  <w:footnote w:type="continuationSeparator" w:id="0">
    <w:p w14:paraId="168B092A" w14:textId="77777777" w:rsidR="0049243C" w:rsidRDefault="0049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233C" w14:textId="77777777" w:rsidR="00BC6BD0" w:rsidRDefault="00000000">
    <w:pPr>
      <w:pBdr>
        <w:top w:val="nil"/>
        <w:left w:val="nil"/>
        <w:bottom w:val="nil"/>
        <w:right w:val="nil"/>
        <w:between w:val="nil"/>
      </w:pBdr>
      <w:tabs>
        <w:tab w:val="center" w:pos="4680"/>
        <w:tab w:val="right" w:pos="9360"/>
      </w:tabs>
      <w:jc w:val="right"/>
      <w:rPr>
        <w:b/>
        <w:color w:val="000000"/>
        <w:sz w:val="38"/>
        <w:szCs w:val="38"/>
      </w:rPr>
    </w:pPr>
    <w:r>
      <w:rPr>
        <w:b/>
        <w:color w:val="000000"/>
        <w:sz w:val="38"/>
        <w:szCs w:val="38"/>
      </w:rPr>
      <w:t>Illinois MTSS-N Professional Learning</w:t>
    </w:r>
    <w:r>
      <w:rPr>
        <w:noProof/>
      </w:rPr>
      <w:drawing>
        <wp:anchor distT="0" distB="0" distL="0" distR="0" simplePos="0" relativeHeight="251658240" behindDoc="1" locked="0" layoutInCell="1" hidden="0" allowOverlap="1" wp14:anchorId="499CA1AB" wp14:editId="311C8953">
          <wp:simplePos x="0" y="0"/>
          <wp:positionH relativeFrom="column">
            <wp:posOffset>-9141</wp:posOffset>
          </wp:positionH>
          <wp:positionV relativeFrom="paragraph">
            <wp:posOffset>19051</wp:posOffset>
          </wp:positionV>
          <wp:extent cx="957263" cy="481844"/>
          <wp:effectExtent l="0" t="0" r="0" b="0"/>
          <wp:wrapNone/>
          <wp:docPr id="44" name="image3.jpg" descr="IL MTSS Logo"/>
          <wp:cNvGraphicFramePr/>
          <a:graphic xmlns:a="http://schemas.openxmlformats.org/drawingml/2006/main">
            <a:graphicData uri="http://schemas.openxmlformats.org/drawingml/2006/picture">
              <pic:pic xmlns:pic="http://schemas.openxmlformats.org/drawingml/2006/picture">
                <pic:nvPicPr>
                  <pic:cNvPr id="44" name="image3.jpg" descr="IL MTSS Logo"/>
                  <pic:cNvPicPr preferRelativeResize="0"/>
                </pic:nvPicPr>
                <pic:blipFill>
                  <a:blip r:embed="rId1"/>
                  <a:srcRect/>
                  <a:stretch>
                    <a:fillRect/>
                  </a:stretch>
                </pic:blipFill>
                <pic:spPr>
                  <a:xfrm>
                    <a:off x="0" y="0"/>
                    <a:ext cx="957263" cy="481844"/>
                  </a:xfrm>
                  <a:prstGeom prst="rect">
                    <a:avLst/>
                  </a:prstGeom>
                  <a:ln/>
                </pic:spPr>
              </pic:pic>
            </a:graphicData>
          </a:graphic>
        </wp:anchor>
      </w:drawing>
    </w:r>
  </w:p>
  <w:p w14:paraId="1C777683" w14:textId="77777777" w:rsidR="00BC6BD0" w:rsidRDefault="00000000">
    <w:pPr>
      <w:pBdr>
        <w:top w:val="nil"/>
        <w:left w:val="nil"/>
        <w:bottom w:val="nil"/>
        <w:right w:val="nil"/>
        <w:between w:val="nil"/>
      </w:pBdr>
      <w:tabs>
        <w:tab w:val="center" w:pos="4680"/>
        <w:tab w:val="right" w:pos="9360"/>
      </w:tabs>
      <w:jc w:val="right"/>
      <w:rPr>
        <w:smallCaps/>
        <w:color w:val="538135"/>
        <w:sz w:val="30"/>
        <w:szCs w:val="30"/>
      </w:rPr>
    </w:pPr>
    <w:r>
      <w:rPr>
        <w:smallCaps/>
        <w:color w:val="538135"/>
        <w:sz w:val="30"/>
        <w:szCs w:val="30"/>
      </w:rPr>
      <w:t>MTSS and Special Education</w:t>
    </w:r>
  </w:p>
  <w:p w14:paraId="2E0A3E88" w14:textId="77777777" w:rsidR="00BC6BD0" w:rsidRDefault="00000000">
    <w:pPr>
      <w:pBdr>
        <w:top w:val="nil"/>
        <w:left w:val="nil"/>
        <w:bottom w:val="nil"/>
        <w:right w:val="nil"/>
        <w:between w:val="nil"/>
      </w:pBdr>
      <w:tabs>
        <w:tab w:val="center" w:pos="4680"/>
        <w:tab w:val="right" w:pos="9360"/>
      </w:tabs>
      <w:jc w:val="right"/>
      <w:rPr>
        <w:color w:val="7F7F7F"/>
        <w:sz w:val="22"/>
        <w:szCs w:val="22"/>
      </w:rPr>
    </w:pPr>
    <w:r w:rsidRPr="006C6294">
      <w:rPr>
        <w:sz w:val="22"/>
        <w:szCs w:val="22"/>
      </w:rPr>
      <w:t>True or False?</w:t>
    </w:r>
    <w:r>
      <w:rPr>
        <w:noProof/>
      </w:rPr>
      <mc:AlternateContent>
        <mc:Choice Requires="wps">
          <w:drawing>
            <wp:anchor distT="0" distB="0" distL="114300" distR="114300" simplePos="0" relativeHeight="251659264" behindDoc="0" locked="0" layoutInCell="1" hidden="0" allowOverlap="1" wp14:anchorId="3B52548A" wp14:editId="09D0CE74">
              <wp:simplePos x="0" y="0"/>
              <wp:positionH relativeFrom="column">
                <wp:posOffset>-12697</wp:posOffset>
              </wp:positionH>
              <wp:positionV relativeFrom="paragraph">
                <wp:posOffset>444500</wp:posOffset>
              </wp:positionV>
              <wp:extent cx="0" cy="12700"/>
              <wp:effectExtent l="0" t="0" r="0" b="0"/>
              <wp:wrapNone/>
              <wp:docPr id="41" name="Straight Arrow Connector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62F5A662" id="_x0000_t32" coordsize="21600,21600" o:spt="32" o:oned="t" path="m,l21600,21600e" filled="f">
              <v:path arrowok="t" fillok="f" o:connecttype="none"/>
              <o:lock v:ext="edit" shapetype="t"/>
            </v:shapetype>
            <v:shape id="Straight Arrow Connector 41" o:spid="_x0000_s1026" type="#_x0000_t32" alt="&quot;&quot;" style="position:absolute;margin-left:-1pt;margin-top:3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" strokecolor="#a5a5a5 [3206]">
              <v:stroke startarrowwidth="narrow" startarrowlength="short" endarrowwidth="narrow" endarrowlength="short" joinstyle="miter"/>
            </v:shape>
          </w:pict>
        </mc:Fallback>
      </mc:AlternateContent>
    </w:r>
  </w:p>
  <w:p w14:paraId="5A0DB10F" w14:textId="77777777" w:rsidR="00BC6BD0" w:rsidRDefault="00000000">
    <w:pPr>
      <w:tabs>
        <w:tab w:val="center" w:pos="4680"/>
        <w:tab w:val="right" w:pos="9360"/>
      </w:tabs>
      <w:jc w:val="right"/>
      <w:rPr>
        <w:color w:val="7F7F7F"/>
        <w:sz w:val="22"/>
        <w:szCs w:val="22"/>
      </w:rPr>
    </w:pPr>
    <w:r>
      <w:rPr>
        <w:i/>
        <w:noProof/>
        <w:color w:val="7F7F7F"/>
        <w:sz w:val="22"/>
        <w:szCs w:val="22"/>
      </w:rPr>
      <w:drawing>
        <wp:inline distT="114300" distB="114300" distL="114300" distR="114300" wp14:anchorId="795412A4" wp14:editId="79607347">
          <wp:extent cx="6057900" cy="25400"/>
          <wp:effectExtent l="0" t="0" r="0" b="0"/>
          <wp:docPr id="4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8"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6057900" cy="25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67A"/>
    <w:multiLevelType w:val="multilevel"/>
    <w:tmpl w:val="73A4D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247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5E+O12y8cKRHJbsUZ6eVXw3UAHee1oj0V4eK8kdYnFdlW6cJ+T/BDlqZG539s8gKtzhcl6G0bCPtUu1CIOZ9A==" w:salt="tmqdE7+IgUphT6vvA/Eb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D0"/>
    <w:rsid w:val="0049243C"/>
    <w:rsid w:val="006C6294"/>
    <w:rsid w:val="00754FAC"/>
    <w:rsid w:val="00BC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4BE2B"/>
  <w15:docId w15:val="{AF181118-6961-4922-AC0F-AC04AE77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E449BF"/>
    <w:pPr>
      <w:tabs>
        <w:tab w:val="center" w:pos="4680"/>
        <w:tab w:val="right" w:pos="9360"/>
      </w:tabs>
    </w:pPr>
  </w:style>
  <w:style w:type="character" w:customStyle="1" w:styleId="HeaderChar">
    <w:name w:val="Header Char"/>
    <w:basedOn w:val="DefaultParagraphFont"/>
    <w:link w:val="Header"/>
    <w:uiPriority w:val="99"/>
    <w:rsid w:val="00E449BF"/>
  </w:style>
  <w:style w:type="paragraph" w:styleId="Footer">
    <w:name w:val="footer"/>
    <w:basedOn w:val="Normal"/>
    <w:link w:val="FooterChar"/>
    <w:uiPriority w:val="99"/>
    <w:unhideWhenUsed/>
    <w:rsid w:val="00E449BF"/>
    <w:pPr>
      <w:tabs>
        <w:tab w:val="center" w:pos="4680"/>
        <w:tab w:val="right" w:pos="9360"/>
      </w:tabs>
    </w:pPr>
  </w:style>
  <w:style w:type="character" w:customStyle="1" w:styleId="FooterChar">
    <w:name w:val="Footer Char"/>
    <w:basedOn w:val="DefaultParagraphFont"/>
    <w:link w:val="Footer"/>
    <w:uiPriority w:val="99"/>
    <w:rsid w:val="00E449BF"/>
  </w:style>
  <w:style w:type="character" w:styleId="Hyperlink">
    <w:name w:val="Hyperlink"/>
    <w:basedOn w:val="DefaultParagraphFont"/>
    <w:uiPriority w:val="99"/>
    <w:unhideWhenUsed/>
    <w:rsid w:val="00CE0F1B"/>
    <w:rPr>
      <w:color w:val="0563C1" w:themeColor="hyperlink"/>
      <w:u w:val="single"/>
    </w:rPr>
  </w:style>
  <w:style w:type="character" w:styleId="UnresolvedMention">
    <w:name w:val="Unresolved Mention"/>
    <w:basedOn w:val="DefaultParagraphFont"/>
    <w:uiPriority w:val="99"/>
    <w:rsid w:val="00CE0F1B"/>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loridarti.usf.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pedsupport.tea.texas.gov/topics/mts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FlQzPzkG2h2CDYGlf67PZjDDQ==">CgMxLjA4AGohChRzdWdnZXN0LjlkNmxsNW93amduMBIJQW5vbnltb3VzciExMGhETVNGZGZKM1Q4dHRpUGZldVJKWXBHLU5aRHNxb3U=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932</Words>
  <Characters>5313</Characters>
  <Application>Microsoft Office Word</Application>
  <DocSecurity>8</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Illinois MTSS-N Professional Learning</dc:creator>
  <cp:lastModifiedBy>Linda Watson</cp:lastModifiedBy>
  <cp:revision>2</cp:revision>
  <dcterms:created xsi:type="dcterms:W3CDTF">2019-03-07T01:01:00Z</dcterms:created>
  <dcterms:modified xsi:type="dcterms:W3CDTF">2025-10-13T14:18:00Z</dcterms:modified>
</cp:coreProperties>
</file>